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7AD" w:rsidRDefault="00BF27AD" w:rsidP="00BF27AD">
      <w:pPr>
        <w:rPr>
          <w:rFonts w:ascii="Times New Roman" w:hAnsi="Times New Roman" w:cs="Times New Roman"/>
        </w:rPr>
      </w:pPr>
      <w:r w:rsidRPr="00BF27AD">
        <w:rPr>
          <w:rFonts w:ascii="Times New Roman" w:hAnsi="Times New Roman" w:cs="Times New Roman"/>
        </w:rPr>
        <w:t>CONSULTOR VIRTUAL PEMP</w:t>
      </w:r>
    </w:p>
    <w:p w:rsidR="00BF27AD" w:rsidRPr="00572CCE" w:rsidRDefault="00EF0825" w:rsidP="00BF27AD">
      <w:pPr>
        <w:pStyle w:val="Ttulo2"/>
        <w:rPr>
          <w:rFonts w:ascii="Times New Roman" w:hAnsi="Times New Roman" w:cs="Times New Roman"/>
          <w:color w:val="0070C0"/>
          <w:sz w:val="22"/>
          <w:szCs w:val="22"/>
        </w:rPr>
      </w:pPr>
      <w:r w:rsidRPr="00572CCE">
        <w:rPr>
          <w:rFonts w:ascii="Times New Roman" w:hAnsi="Times New Roman" w:cs="Times New Roman"/>
          <w:color w:val="0070C0"/>
          <w:sz w:val="22"/>
          <w:szCs w:val="22"/>
        </w:rPr>
        <w:t>¿QUIEN PUEDE UTILIZAR UNA PEMP?</w:t>
      </w:r>
    </w:p>
    <w:p w:rsidR="00572CCE" w:rsidRPr="00572CCE" w:rsidRDefault="00572CCE" w:rsidP="00572CCE"/>
    <w:p w:rsidR="00EF0825" w:rsidRDefault="00EF0825" w:rsidP="00EF0825">
      <w:r w:rsidRPr="00572CCE">
        <w:rPr>
          <w:b/>
        </w:rPr>
        <w:t>Las personas preparadas y autorizadas mayores de 18 años están autorizadas para opera</w:t>
      </w:r>
      <w:r w:rsidR="006F7260" w:rsidRPr="00572CCE">
        <w:rPr>
          <w:b/>
        </w:rPr>
        <w:t>r</w:t>
      </w:r>
      <w:r w:rsidRPr="00572CCE">
        <w:rPr>
          <w:b/>
        </w:rPr>
        <w:t xml:space="preserve"> las plataformas elevadoras móviles de personal</w:t>
      </w:r>
      <w:r>
        <w:t>. Para ello antes de esta autorizado para utilizar la plataforma el operador debe de:</w:t>
      </w:r>
    </w:p>
    <w:p w:rsidR="00EF0825" w:rsidRDefault="00410AA5" w:rsidP="00EF0825">
      <w:pPr>
        <w:autoSpaceDE w:val="0"/>
        <w:autoSpaceDN w:val="0"/>
        <w:adjustRightInd w:val="0"/>
        <w:spacing w:after="0" w:line="240" w:lineRule="auto"/>
      </w:pPr>
      <w:r>
        <w:t>-</w:t>
      </w:r>
      <w:r w:rsidR="00EF0825">
        <w:t xml:space="preserve">Ser formado  </w:t>
      </w:r>
      <w:r>
        <w:t xml:space="preserve">por una persona cualificada sobre los </w:t>
      </w:r>
      <w:r w:rsidR="00C9724A">
        <w:t>símbolos</w:t>
      </w:r>
      <w:r>
        <w:t xml:space="preserve"> y funciones de cada uno de los instrumentos de control</w:t>
      </w:r>
    </w:p>
    <w:p w:rsidR="00410AA5" w:rsidRDefault="00410AA5" w:rsidP="00EF0825">
      <w:pPr>
        <w:autoSpaceDE w:val="0"/>
        <w:autoSpaceDN w:val="0"/>
        <w:adjustRightInd w:val="0"/>
        <w:spacing w:after="0" w:line="240" w:lineRule="auto"/>
      </w:pPr>
      <w:r>
        <w:t>-Leer y comprender</w:t>
      </w:r>
      <w:r w:rsidR="00C9724A">
        <w:t xml:space="preserve"> las instrucciones y normas de seguridad recogidas en los manuales de funcionamiento entregados por el fabricante</w:t>
      </w:r>
      <w:r w:rsidR="003B1DA3">
        <w:t>.</w:t>
      </w:r>
    </w:p>
    <w:p w:rsidR="00C9724A" w:rsidRDefault="00C9724A" w:rsidP="00EF0825">
      <w:pPr>
        <w:autoSpaceDE w:val="0"/>
        <w:autoSpaceDN w:val="0"/>
        <w:adjustRightInd w:val="0"/>
        <w:spacing w:after="0" w:line="240" w:lineRule="auto"/>
      </w:pPr>
      <w:r>
        <w:t xml:space="preserve">-Leer y comprender los símbolos situados sobre la plataforma de trabajo </w:t>
      </w:r>
      <w:r w:rsidR="00016611">
        <w:t>con</w:t>
      </w:r>
      <w:r>
        <w:t xml:space="preserve"> la ayuda de personal cualificado</w:t>
      </w:r>
      <w:r w:rsidR="003B1DA3">
        <w:t>.</w:t>
      </w:r>
    </w:p>
    <w:p w:rsidR="00410AA5" w:rsidRPr="00EF0825" w:rsidRDefault="00410AA5" w:rsidP="00EF0825">
      <w:pPr>
        <w:autoSpaceDE w:val="0"/>
        <w:autoSpaceDN w:val="0"/>
        <w:adjustRightInd w:val="0"/>
        <w:spacing w:after="0" w:line="240" w:lineRule="auto"/>
      </w:pPr>
    </w:p>
    <w:p w:rsidR="00EF0825" w:rsidRPr="00EF0825" w:rsidRDefault="00EF0825" w:rsidP="00EF0825"/>
    <w:p w:rsidR="00BF27AD" w:rsidRPr="00BF27AD" w:rsidRDefault="00BF27AD" w:rsidP="00BF27AD">
      <w:pPr>
        <w:pStyle w:val="bodytext"/>
        <w:rPr>
          <w:sz w:val="22"/>
          <w:szCs w:val="22"/>
        </w:rPr>
      </w:pPr>
    </w:p>
    <w:p w:rsidR="00BF27AD" w:rsidRPr="00572CCE" w:rsidRDefault="00BF27AD" w:rsidP="00BF27AD">
      <w:pPr>
        <w:pStyle w:val="Ttulo2"/>
        <w:rPr>
          <w:rFonts w:ascii="Times New Roman" w:hAnsi="Times New Roman" w:cs="Times New Roman"/>
          <w:color w:val="0070C0"/>
          <w:sz w:val="22"/>
          <w:szCs w:val="22"/>
        </w:rPr>
      </w:pPr>
      <w:r w:rsidRPr="00572CCE">
        <w:rPr>
          <w:rFonts w:ascii="Times New Roman" w:hAnsi="Times New Roman" w:cs="Times New Roman"/>
          <w:color w:val="0070C0"/>
          <w:sz w:val="22"/>
          <w:szCs w:val="22"/>
        </w:rPr>
        <w:t>EN CUANTO AL REAL DECRETO 1215, ARTÍCULO 5, SI NO EXISTE UNA NORMATIVA O LEGISLACIÓN AL RESPECTO, ¿CÓMO SE DETERMINA CUALES SON UNA FORMACIÓN E INFORMACIÓN ADECUADA?</w:t>
      </w:r>
    </w:p>
    <w:p w:rsidR="00572CCE" w:rsidRPr="00572CCE" w:rsidRDefault="00572CCE" w:rsidP="00572CCE"/>
    <w:p w:rsidR="00BF27AD" w:rsidRPr="00572CCE" w:rsidRDefault="00BF27AD" w:rsidP="00BF27AD">
      <w:pPr>
        <w:pStyle w:val="bodytext"/>
        <w:rPr>
          <w:b/>
          <w:sz w:val="22"/>
          <w:szCs w:val="22"/>
        </w:rPr>
      </w:pPr>
      <w:r w:rsidRPr="00BF27AD">
        <w:rPr>
          <w:sz w:val="22"/>
          <w:szCs w:val="22"/>
        </w:rPr>
        <w:t>El Real Decreto 1215 menciona en su artículo 5 (Obligaciones en materia de formación e información) que “</w:t>
      </w:r>
      <w:r w:rsidRPr="00572CCE">
        <w:rPr>
          <w:b/>
          <w:sz w:val="22"/>
          <w:szCs w:val="22"/>
        </w:rPr>
        <w:t xml:space="preserve">el empresario deberá garantizar que los trabajadores y los representantes de los trabajadores reciban una formación e información adecuadas sobre los riesgos derivados de la utilización de los equipos de trabajo, así como sobre las medidas de prevención y protección que hayan de adoptarse”. </w:t>
      </w:r>
    </w:p>
    <w:p w:rsidR="00BF27AD" w:rsidRPr="00BF27AD" w:rsidRDefault="00BF27AD" w:rsidP="00BF27AD">
      <w:pPr>
        <w:pStyle w:val="bodytext"/>
        <w:rPr>
          <w:sz w:val="22"/>
          <w:szCs w:val="22"/>
        </w:rPr>
      </w:pPr>
      <w:r w:rsidRPr="00BF27AD">
        <w:rPr>
          <w:sz w:val="22"/>
          <w:szCs w:val="22"/>
        </w:rPr>
        <w:t>En el mismo Real Decreto 1215 se detalla que como mínimo la formación del operador del equipo de trabajo tiene que abarcar “</w:t>
      </w:r>
      <w:r w:rsidRPr="00572CCE">
        <w:rPr>
          <w:b/>
          <w:sz w:val="22"/>
          <w:szCs w:val="22"/>
        </w:rPr>
        <w:t>las condiciones y forma correcta de utilización de los equipos de trabajo, teniendo en cuenta las instrucciones del fabricante, así como las situaciones o formas de utilización anormales y peligrosas que puedan preverse</w:t>
      </w:r>
      <w:r w:rsidRPr="00BF27AD">
        <w:rPr>
          <w:sz w:val="22"/>
          <w:szCs w:val="22"/>
        </w:rPr>
        <w:t xml:space="preserve">; las conclusiones que, en su caso, se puedan obtener de la experiencia adquirida en la utilización de los equipos de trabajo y Cualquier otra información de utilidad preventiva”. </w:t>
      </w:r>
    </w:p>
    <w:p w:rsidR="00BF27AD" w:rsidRPr="00572CCE" w:rsidRDefault="00BF27AD" w:rsidP="00BF27AD">
      <w:pPr>
        <w:pStyle w:val="bodytext"/>
        <w:rPr>
          <w:b/>
          <w:sz w:val="22"/>
          <w:szCs w:val="22"/>
        </w:rPr>
      </w:pPr>
      <w:r w:rsidRPr="00BF27AD">
        <w:rPr>
          <w:sz w:val="22"/>
          <w:szCs w:val="22"/>
        </w:rPr>
        <w:t xml:space="preserve">A la hora de escoger un curso de formación </w:t>
      </w:r>
      <w:r w:rsidRPr="00572CCE">
        <w:rPr>
          <w:b/>
          <w:sz w:val="22"/>
          <w:szCs w:val="22"/>
        </w:rPr>
        <w:t>“adecuado”</w:t>
      </w:r>
      <w:r w:rsidRPr="00BF27AD">
        <w:rPr>
          <w:sz w:val="22"/>
          <w:szCs w:val="22"/>
        </w:rPr>
        <w:t xml:space="preserve"> de operador para un determinado equipo, cuya estándar mínimo de formación no esté legislado, </w:t>
      </w:r>
      <w:r w:rsidRPr="00572CCE">
        <w:rPr>
          <w:b/>
          <w:sz w:val="22"/>
          <w:szCs w:val="22"/>
        </w:rPr>
        <w:t xml:space="preserve">se aconseja elegir cursos que estén respaldados por los mismos fabricantes de los equipos y si posible estén certificados bajo alguna normativa, sea ésta nacional o internacional. </w:t>
      </w:r>
    </w:p>
    <w:p w:rsidR="00BF27AD" w:rsidRDefault="00BF27AD" w:rsidP="00BF27AD">
      <w:pPr>
        <w:pStyle w:val="bodytext"/>
        <w:rPr>
          <w:sz w:val="22"/>
          <w:szCs w:val="22"/>
        </w:rPr>
      </w:pPr>
      <w:r w:rsidRPr="00572CCE">
        <w:rPr>
          <w:b/>
          <w:sz w:val="22"/>
          <w:szCs w:val="22"/>
        </w:rPr>
        <w:t xml:space="preserve">Existen muchos cursos de manejo de equipos de trabajo en el mercado que no tienen algún respaldo y es importante ser selectivo a la hora de escoger, para evitar riesgos indebidos y que se ponga </w:t>
      </w:r>
      <w:r w:rsidRPr="00572CCE">
        <w:rPr>
          <w:rStyle w:val="googqs-tidbit1"/>
          <w:b/>
          <w:sz w:val="22"/>
          <w:szCs w:val="22"/>
        </w:rPr>
        <w:t>en cuestión la calidad de la formación a la hora de acontecer un accidente</w:t>
      </w:r>
      <w:r w:rsidRPr="00BF27AD">
        <w:rPr>
          <w:rStyle w:val="googqs-tidbit1"/>
          <w:sz w:val="22"/>
          <w:szCs w:val="22"/>
        </w:rPr>
        <w:t>.</w:t>
      </w:r>
      <w:r w:rsidRPr="00BF27AD">
        <w:rPr>
          <w:sz w:val="22"/>
          <w:szCs w:val="22"/>
        </w:rPr>
        <w:t xml:space="preserve"> </w:t>
      </w:r>
    </w:p>
    <w:p w:rsidR="00572CCE" w:rsidRDefault="00572CCE" w:rsidP="00BF27AD">
      <w:pPr>
        <w:pStyle w:val="bodytext"/>
        <w:rPr>
          <w:sz w:val="22"/>
          <w:szCs w:val="22"/>
        </w:rPr>
      </w:pPr>
      <w:hyperlink r:id="rId4" w:history="1">
        <w:r w:rsidRPr="001476A8">
          <w:rPr>
            <w:rStyle w:val="Hipervnculo"/>
            <w:sz w:val="22"/>
            <w:szCs w:val="22"/>
          </w:rPr>
          <w:t>http://www.emagister.com/palista-conductor-retroexcavadora-cargadora-cursos-2791957.htm</w:t>
        </w:r>
      </w:hyperlink>
    </w:p>
    <w:p w:rsidR="007F0DC3" w:rsidRDefault="007F0DC3" w:rsidP="00BF27AD">
      <w:pPr>
        <w:pStyle w:val="bodytext"/>
        <w:rPr>
          <w:sz w:val="22"/>
          <w:szCs w:val="22"/>
        </w:rPr>
      </w:pPr>
      <w:hyperlink r:id="rId5" w:history="1">
        <w:r w:rsidRPr="001476A8">
          <w:rPr>
            <w:rStyle w:val="Hipervnculo"/>
            <w:sz w:val="22"/>
            <w:szCs w:val="22"/>
          </w:rPr>
          <w:t>http://capser.bligoo.com/content/view/300256/CURSO-OPERADOR-MAQUINARIA-P</w:t>
        </w:r>
      </w:hyperlink>
    </w:p>
    <w:p w:rsidR="00BF27AD" w:rsidRDefault="007F0DC3">
      <w:pPr>
        <w:rPr>
          <w:rFonts w:ascii="Times New Roman" w:hAnsi="Times New Roman" w:cs="Times New Roman"/>
        </w:rPr>
      </w:pPr>
      <w:hyperlink r:id="rId6" w:history="1">
        <w:r w:rsidRPr="001476A8">
          <w:rPr>
            <w:rStyle w:val="Hipervnculo"/>
            <w:rFonts w:ascii="Times New Roman" w:hAnsi="Times New Roman" w:cs="Times New Roman"/>
          </w:rPr>
          <w:t>http://www.solocursos.net/operador_de_maquinaria_de_excavacion-slccurso998599.htm</w:t>
        </w:r>
      </w:hyperlink>
    </w:p>
    <w:p w:rsidR="007F0DC3" w:rsidRPr="00BF27AD" w:rsidRDefault="007F0DC3">
      <w:pPr>
        <w:rPr>
          <w:rFonts w:ascii="Times New Roman" w:hAnsi="Times New Roman" w:cs="Times New Roman"/>
        </w:rPr>
      </w:pPr>
    </w:p>
    <w:p w:rsidR="00CD5420" w:rsidRPr="00572CCE" w:rsidRDefault="00CD5420" w:rsidP="00CD5420">
      <w:pPr>
        <w:spacing w:before="100" w:beforeAutospacing="1" w:after="100" w:afterAutospacing="1" w:line="240" w:lineRule="auto"/>
        <w:textAlignment w:val="center"/>
        <w:outlineLvl w:val="2"/>
        <w:rPr>
          <w:rFonts w:ascii="Times New Roman" w:eastAsia="Times New Roman" w:hAnsi="Times New Roman" w:cs="Times New Roman"/>
          <w:b/>
          <w:bCs/>
          <w:color w:val="0070C0"/>
          <w:lang w:eastAsia="es-ES"/>
        </w:rPr>
      </w:pPr>
      <w:r w:rsidRPr="00572CCE">
        <w:rPr>
          <w:rFonts w:ascii="Times New Roman" w:eastAsia="Times New Roman" w:hAnsi="Times New Roman" w:cs="Times New Roman"/>
          <w:b/>
          <w:bCs/>
          <w:color w:val="0070C0"/>
          <w:lang w:eastAsia="es-ES"/>
        </w:rPr>
        <w:t>Al ser titular de la tarjeta profesional de la construcción y la formación de segundo ciclo en aparatos elevadores, estoy capacitado para el manejo de una plataforma elevadora</w:t>
      </w:r>
      <w:proofErr w:type="gramStart"/>
      <w:r w:rsidRPr="00572CCE">
        <w:rPr>
          <w:rFonts w:ascii="Times New Roman" w:eastAsia="Times New Roman" w:hAnsi="Times New Roman" w:cs="Times New Roman"/>
          <w:b/>
          <w:bCs/>
          <w:color w:val="0070C0"/>
          <w:lang w:eastAsia="es-ES"/>
        </w:rPr>
        <w:t>?</w:t>
      </w:r>
      <w:proofErr w:type="gramEnd"/>
    </w:p>
    <w:p w:rsidR="00CD5420" w:rsidRPr="00BF27AD" w:rsidRDefault="00CD5420" w:rsidP="00CD5420">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572CCE">
        <w:rPr>
          <w:rFonts w:ascii="Times New Roman" w:eastAsia="Times New Roman" w:hAnsi="Times New Roman" w:cs="Times New Roman"/>
          <w:b/>
          <w:color w:val="000000"/>
          <w:lang w:eastAsia="es-ES"/>
        </w:rPr>
        <w:t xml:space="preserve">No. La Tarjeta Profesional de la Construcción (TPC), en absoluto habilita para el manejo de equipos de elevación (grúas torre, </w:t>
      </w:r>
      <w:proofErr w:type="spellStart"/>
      <w:r w:rsidRPr="00572CCE">
        <w:rPr>
          <w:rFonts w:ascii="Times New Roman" w:eastAsia="Times New Roman" w:hAnsi="Times New Roman" w:cs="Times New Roman"/>
          <w:b/>
          <w:color w:val="000000"/>
          <w:lang w:eastAsia="es-ES"/>
        </w:rPr>
        <w:t>maquinillos</w:t>
      </w:r>
      <w:proofErr w:type="spellEnd"/>
      <w:r w:rsidRPr="00572CCE">
        <w:rPr>
          <w:rFonts w:ascii="Times New Roman" w:eastAsia="Times New Roman" w:hAnsi="Times New Roman" w:cs="Times New Roman"/>
          <w:b/>
          <w:color w:val="000000"/>
          <w:lang w:eastAsia="es-ES"/>
        </w:rPr>
        <w:t>, plataformas de elevación móviles, manipuladores telescópicos, etc.) sino que se trata de una formación exclusiva sobre los riesgos y actividades preventivas como consecuencia del manejo de estos equipos</w:t>
      </w:r>
      <w:r w:rsidRPr="00BF27AD">
        <w:rPr>
          <w:rFonts w:ascii="Times New Roman" w:eastAsia="Times New Roman" w:hAnsi="Times New Roman" w:cs="Times New Roman"/>
          <w:color w:val="000000"/>
          <w:lang w:eastAsia="es-ES"/>
        </w:rPr>
        <w:t>.</w:t>
      </w:r>
    </w:p>
    <w:p w:rsidR="00CD5420" w:rsidRPr="00BF27AD" w:rsidRDefault="00CD5420" w:rsidP="00CD5420">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Teniendo en cuenta que por equipo de trabajo se entiende cualquier maquina, aparato o instrumento que tiene que ser utilizado por un trabajador, al que se denomina operador del equipo, el reglamento sobre equipos de trabajo de 18 de julio de 1997, precisa con claridad que su utilización queda reservada a los trabajadores designados por el empresario a tal fin, que necesariamente han de recibir una formación específica adecuada para la conducción segura de esos equipos, no siendo válida la más genérica sobre aspectos de la PRL que se recibe para la obtención de la TPC, formación ésta a la que antes nos referimos.</w:t>
      </w:r>
    </w:p>
    <w:p w:rsidR="00CD5420" w:rsidRPr="00BF27AD" w:rsidRDefault="00CD5420" w:rsidP="00CD5420">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En tal sentido, el artículo 5 del R.D. 1215/1997 citado y su Anexo II punto 2, establecen que la formación genérica básica sobre “equipos de elevación” no es considerada suficiente a la hora de utilizar un equipo elevador específico como puede ser una grúa torre, una grúa móvil o una PEMP. Dicha norma obliga a que “</w:t>
      </w:r>
      <w:r w:rsidRPr="00572CCE">
        <w:rPr>
          <w:rFonts w:ascii="Times New Roman" w:eastAsia="Times New Roman" w:hAnsi="Times New Roman" w:cs="Times New Roman"/>
          <w:b/>
          <w:color w:val="000000"/>
          <w:lang w:eastAsia="es-ES"/>
        </w:rPr>
        <w:t>La conducción de equipos de trabajo automotores estará reservada a los trabajadores que hayan recibido una formación específica para la conducción segura de esos equipos de trabajo”</w:t>
      </w:r>
      <w:r w:rsidRPr="00BF27AD">
        <w:rPr>
          <w:rFonts w:ascii="Times New Roman" w:eastAsia="Times New Roman" w:hAnsi="Times New Roman" w:cs="Times New Roman"/>
          <w:color w:val="000000"/>
          <w:lang w:eastAsia="es-ES"/>
        </w:rPr>
        <w:t>.</w:t>
      </w:r>
    </w:p>
    <w:p w:rsidR="00CD5420" w:rsidRPr="00BF27AD" w:rsidRDefault="00CD5420" w:rsidP="00CD5420">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 xml:space="preserve">Como consecuencia, en la línea marcada por la propia Fundación Laboral de la Construcción, la formación requerida de la TPC es meramente de prevención de </w:t>
      </w:r>
      <w:proofErr w:type="gramStart"/>
      <w:r w:rsidRPr="00BF27AD">
        <w:rPr>
          <w:rFonts w:ascii="Times New Roman" w:eastAsia="Times New Roman" w:hAnsi="Times New Roman" w:cs="Times New Roman"/>
          <w:color w:val="000000"/>
          <w:lang w:eastAsia="es-ES"/>
        </w:rPr>
        <w:t>riesgos laborales pero no específica y más compleja</w:t>
      </w:r>
      <w:proofErr w:type="gramEnd"/>
      <w:r w:rsidRPr="00BF27AD">
        <w:rPr>
          <w:rFonts w:ascii="Times New Roman" w:eastAsia="Times New Roman" w:hAnsi="Times New Roman" w:cs="Times New Roman"/>
          <w:color w:val="000000"/>
          <w:lang w:eastAsia="es-ES"/>
        </w:rPr>
        <w:t xml:space="preserve"> para el manejo de equipos y plataformas elevadoras, con el consiguiente riesgo para la seguridad en el trabajo. </w:t>
      </w:r>
      <w:r w:rsidRPr="00572CCE">
        <w:rPr>
          <w:rFonts w:ascii="Times New Roman" w:eastAsia="Times New Roman" w:hAnsi="Times New Roman" w:cs="Times New Roman"/>
          <w:b/>
          <w:color w:val="000000"/>
          <w:lang w:eastAsia="es-ES"/>
        </w:rPr>
        <w:t>Es decir, esa formación específica va mucho más allá de la genérica formación en Prevención de Riesgos Laborales -8 a 20 horas</w:t>
      </w:r>
      <w:r w:rsidRPr="00BF27AD">
        <w:rPr>
          <w:rFonts w:ascii="Times New Roman" w:eastAsia="Times New Roman" w:hAnsi="Times New Roman" w:cs="Times New Roman"/>
          <w:color w:val="000000"/>
          <w:lang w:eastAsia="es-ES"/>
        </w:rPr>
        <w:t xml:space="preserve"> según los casos- que establece el artículo 155 del IV Convenio Colectivo General del Sector de la Construcción y que sólo se puede impartir por centros de formación homologados para impartir esa formación especializada que existen en nuestro país</w:t>
      </w:r>
    </w:p>
    <w:p w:rsidR="00CD5420" w:rsidRPr="00572CCE" w:rsidRDefault="00CD5420" w:rsidP="00CD5420">
      <w:pPr>
        <w:pStyle w:val="Ttulo3"/>
        <w:textAlignment w:val="center"/>
        <w:rPr>
          <w:color w:val="0070C0"/>
          <w:sz w:val="22"/>
          <w:szCs w:val="22"/>
        </w:rPr>
      </w:pPr>
      <w:r w:rsidRPr="00572CCE">
        <w:rPr>
          <w:color w:val="0070C0"/>
          <w:sz w:val="22"/>
          <w:szCs w:val="22"/>
        </w:rPr>
        <w:t>¿Es la formación un requisito legal en Europa?</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En referencia a la Directiva del Consejo 89/655/CEE, con enmiendas en la Directiva del Consejo 95/63/CEE, el artículo 7 indica lo siguiente:</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“Sin perjuicio del artículo 12 de la Directiva 89/391/CEE, el empresario tomará las medidas necesarias para que:</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-los trabajadores encargados de utilizar los equipos de trabajo reciban una formación adecuada, incluso sobre los riesgos que, llegado el caso, supone dicha utilización;</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-los trabajadores contemplados en el segundo guión del artículo 5 reciban una formación específica adecuada."</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lastRenderedPageBreak/>
        <w:t>El segundo guión del artículo 5 hace referencia a las reparaciones, transformaciones, mantenimiento o conservación e incluye lo siguiente:</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"Cuando la utilización de un equipo de trabajo pueda presentar un riesgo específico para la seguridad o la salud de los trabajadores, el empresario adoptará las medidas necesarias con el fin de que:</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-los trabajos de reparación, transformación, mantenimiento o conservación sean realizados por trabajadores específicamente capacitados para ello”.</w:t>
      </w:r>
    </w:p>
    <w:p w:rsidR="00CD5420" w:rsidRPr="00572CCE" w:rsidRDefault="00CD5420" w:rsidP="00CD5420">
      <w:pPr>
        <w:pStyle w:val="Ttulo3"/>
        <w:textAlignment w:val="center"/>
        <w:rPr>
          <w:color w:val="0070C0"/>
          <w:sz w:val="22"/>
          <w:szCs w:val="22"/>
        </w:rPr>
      </w:pPr>
      <w:r w:rsidRPr="00572CCE">
        <w:rPr>
          <w:color w:val="0070C0"/>
          <w:sz w:val="22"/>
          <w:szCs w:val="22"/>
        </w:rPr>
        <w:t>Obligación de formación de conductores de plataformas elevadoras</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-Conocimiento necesario para el manejo seguro de plataformas elevadoras</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-Exigencia del uso responsable de estos equipos a fin de evitar posibles accidentes y riesgos innecesarios</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-Manual de seguridad</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-Acreditación para la compañía mediante certificado</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La formación ha de ser presencial con conocimientos prácticos, no on-line.</w:t>
      </w:r>
    </w:p>
    <w:p w:rsidR="00CD5420" w:rsidRPr="00572CCE" w:rsidRDefault="00CD5420" w:rsidP="00CD5420">
      <w:pPr>
        <w:pStyle w:val="Ttulo3"/>
        <w:textAlignment w:val="center"/>
        <w:rPr>
          <w:color w:val="0070C0"/>
          <w:sz w:val="22"/>
          <w:szCs w:val="22"/>
        </w:rPr>
      </w:pPr>
      <w:r w:rsidRPr="00572CCE">
        <w:rPr>
          <w:color w:val="0070C0"/>
          <w:sz w:val="22"/>
          <w:szCs w:val="22"/>
        </w:rPr>
        <w:t>¿Alcanza la responsabilidad penal al encargado (o a otra persona) cuando se produce un accidente de trabajo por falta de medidas de seguridad o utilización de equipos de trabajo inadecuados manejados por personal sin la debida formación acreditada?</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 xml:space="preserve">Los artículos 316 y 317 del Código Penal regulan los denominados delitos de riesgo, exigiendo para su concurrencia los siguientes requisitos: </w:t>
      </w:r>
      <w:r w:rsidRPr="00572CCE">
        <w:rPr>
          <w:b/>
          <w:color w:val="000000"/>
          <w:sz w:val="22"/>
          <w:szCs w:val="22"/>
        </w:rPr>
        <w:t>estar legalmente obligado, no facilitar los medios necesarios para la seguridad en el trabajo, infringir las normas de prevención de riesgos laborales y que le sea imputable el resultado típico, que no es otro que el peligro concreto para la vida, la salud o la integridad física de los trabajadores</w:t>
      </w:r>
      <w:r w:rsidRPr="00BF27AD">
        <w:rPr>
          <w:color w:val="000000"/>
          <w:sz w:val="22"/>
          <w:szCs w:val="22"/>
        </w:rPr>
        <w:t xml:space="preserve">. El delito del Art. 316 es un delito especial, del que sólo pueden ser sujetos activos, quienes estén legalmente obligados a facilitar los medios necesarios para que los trabajadores desempeñen su actividad con las medidas de seguridad e higienes adecuadas. </w:t>
      </w:r>
      <w:r w:rsidRPr="00572CCE">
        <w:rPr>
          <w:b/>
          <w:color w:val="000000"/>
          <w:sz w:val="22"/>
          <w:szCs w:val="22"/>
        </w:rPr>
        <w:t>Lo que supone que no solo el empresario será sujeto activo de este delito si no todo aquel que, dentro de la organización de una empresa, ostente mando o funciones directivas en la actividad laboral, sean superiores o intermedios, siempre que tenga poder de decisión</w:t>
      </w:r>
      <w:r w:rsidRPr="00BF27AD">
        <w:rPr>
          <w:color w:val="000000"/>
          <w:sz w:val="22"/>
          <w:szCs w:val="22"/>
        </w:rPr>
        <w:t>. Doctrinalmente, se ha señalado que los encargados estarían dentro de los sujetos activos del delito, al asumir un encargo del empresario en un ámbito de la empresa, en cuyo dominio puede suceder el hecho delictivo. Siendo determinante para imputar un delito a un encargado, que tal sujeto ejerza mando y puedan dar órdenes vinculantes para la marcha de la empresa.</w:t>
      </w:r>
    </w:p>
    <w:p w:rsidR="00CD5420" w:rsidRPr="00572CCE" w:rsidRDefault="00CD5420" w:rsidP="00CD5420">
      <w:pPr>
        <w:pStyle w:val="Ttulo3"/>
        <w:textAlignment w:val="center"/>
        <w:rPr>
          <w:color w:val="0070C0"/>
          <w:sz w:val="22"/>
          <w:szCs w:val="22"/>
        </w:rPr>
      </w:pPr>
      <w:r w:rsidRPr="00572CCE">
        <w:rPr>
          <w:color w:val="0070C0"/>
          <w:sz w:val="22"/>
          <w:szCs w:val="22"/>
        </w:rPr>
        <w:t>¿Cuáles son las leyes españolas que obligan el operador de plataformas elevadoras a</w:t>
      </w:r>
      <w:r w:rsidR="00BF27AD" w:rsidRPr="00572CCE">
        <w:rPr>
          <w:color w:val="0070C0"/>
          <w:sz w:val="22"/>
          <w:szCs w:val="22"/>
        </w:rPr>
        <w:t xml:space="preserve"> </w:t>
      </w:r>
      <w:r w:rsidRPr="00572CCE">
        <w:rPr>
          <w:color w:val="0070C0"/>
          <w:sz w:val="22"/>
          <w:szCs w:val="22"/>
        </w:rPr>
        <w:t>tener una formación adecuada y suficiente?</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La formación de los operadores de plataformas elevadoras se determina legalmente en la LPRL (Ley 31/1995): artículos 17.1.a) y b), 19.1 y en el artículo 5 del R. D. 1215/1997, sobre Equipos de Trabajo.</w:t>
      </w:r>
    </w:p>
    <w:p w:rsidR="00CD5420" w:rsidRPr="00BF27AD" w:rsidRDefault="00CD5420" w:rsidP="00CD5420">
      <w:pPr>
        <w:pStyle w:val="NormalWeb"/>
        <w:shd w:val="clear" w:color="auto" w:fill="E0DBDB"/>
        <w:textAlignment w:val="center"/>
        <w:rPr>
          <w:i/>
          <w:iCs/>
          <w:color w:val="000000"/>
          <w:sz w:val="22"/>
          <w:szCs w:val="22"/>
        </w:rPr>
      </w:pPr>
      <w:r w:rsidRPr="00BF27AD">
        <w:rPr>
          <w:b/>
          <w:bCs/>
          <w:i/>
          <w:iCs/>
          <w:color w:val="000000"/>
          <w:sz w:val="22"/>
          <w:szCs w:val="22"/>
        </w:rPr>
        <w:t>Artículo 17.1.a) y b) LPRL</w:t>
      </w:r>
      <w:r w:rsidRPr="00BF27AD">
        <w:rPr>
          <w:i/>
          <w:iCs/>
          <w:color w:val="000000"/>
          <w:sz w:val="22"/>
          <w:szCs w:val="22"/>
        </w:rPr>
        <w:t>: “Cuando la utilización de un equipo de trabajo pueda presentar un riesgo específico para la seguridad y la salud de los trabajadores, el empresario adoptará las medidas necesarias con el fin de que:</w:t>
      </w:r>
    </w:p>
    <w:p w:rsidR="00CD5420" w:rsidRPr="00BF27AD" w:rsidRDefault="00CD5420" w:rsidP="00CD5420">
      <w:pPr>
        <w:pStyle w:val="NormalWeb"/>
        <w:shd w:val="clear" w:color="auto" w:fill="E0DBDB"/>
        <w:textAlignment w:val="center"/>
        <w:rPr>
          <w:i/>
          <w:iCs/>
          <w:color w:val="000000"/>
          <w:sz w:val="22"/>
          <w:szCs w:val="22"/>
        </w:rPr>
      </w:pPr>
      <w:r w:rsidRPr="00BF27AD">
        <w:rPr>
          <w:i/>
          <w:iCs/>
          <w:color w:val="000000"/>
          <w:sz w:val="22"/>
          <w:szCs w:val="22"/>
        </w:rPr>
        <w:lastRenderedPageBreak/>
        <w:t>a. La utilización del equipo de trabajo quede reservada a los encargados de dicha utilización.</w:t>
      </w:r>
    </w:p>
    <w:p w:rsidR="00CD5420" w:rsidRPr="00BF27AD" w:rsidRDefault="00CD5420" w:rsidP="00CD5420">
      <w:pPr>
        <w:pStyle w:val="NormalWeb"/>
        <w:shd w:val="clear" w:color="auto" w:fill="E0DBDB"/>
        <w:textAlignment w:val="center"/>
        <w:rPr>
          <w:i/>
          <w:iCs/>
          <w:color w:val="000000"/>
          <w:sz w:val="22"/>
          <w:szCs w:val="22"/>
        </w:rPr>
      </w:pPr>
      <w:proofErr w:type="gramStart"/>
      <w:r w:rsidRPr="00BF27AD">
        <w:rPr>
          <w:i/>
          <w:iCs/>
          <w:color w:val="000000"/>
          <w:sz w:val="22"/>
          <w:szCs w:val="22"/>
        </w:rPr>
        <w:t>b</w:t>
      </w:r>
      <w:proofErr w:type="gramEnd"/>
      <w:r w:rsidRPr="00BF27AD">
        <w:rPr>
          <w:i/>
          <w:iCs/>
          <w:color w:val="000000"/>
          <w:sz w:val="22"/>
          <w:szCs w:val="22"/>
        </w:rPr>
        <w:t>. Los trabajos de reparación, transformación, mantenimiento o conservación sean realizados por los trabajadores específicamente capacitados para ello.”</w:t>
      </w:r>
    </w:p>
    <w:p w:rsidR="00CD5420" w:rsidRPr="00BF27AD" w:rsidRDefault="00CD5420" w:rsidP="00CD5420">
      <w:pPr>
        <w:pStyle w:val="NormalWeb"/>
        <w:shd w:val="clear" w:color="auto" w:fill="E0DBDB"/>
        <w:textAlignment w:val="center"/>
        <w:rPr>
          <w:i/>
          <w:iCs/>
          <w:color w:val="000000"/>
          <w:sz w:val="22"/>
          <w:szCs w:val="22"/>
        </w:rPr>
      </w:pPr>
      <w:r w:rsidRPr="00BF27AD">
        <w:rPr>
          <w:b/>
          <w:bCs/>
          <w:i/>
          <w:iCs/>
          <w:color w:val="000000"/>
          <w:sz w:val="22"/>
          <w:szCs w:val="22"/>
        </w:rPr>
        <w:t>Artículo 19.1 LPRL</w:t>
      </w:r>
      <w:r w:rsidRPr="00BF27AD">
        <w:rPr>
          <w:i/>
          <w:iCs/>
          <w:color w:val="000000"/>
          <w:sz w:val="22"/>
          <w:szCs w:val="22"/>
        </w:rPr>
        <w:t>: “En cumplimiento del deber de protección, el empresario deberá garantizar que cada trabajador reciba una formación teórica y práctica, suficiente y adecuada, en materia preventiva, tanto en el momento de su contratación, cualquiera que sea la modalidad o duración de ésta, como cuando se produzcan cambios en las funciones que desempeñe o se introduzcan nuevas tecnologías o cambios en los equipos de trabajo.</w:t>
      </w:r>
    </w:p>
    <w:p w:rsidR="00CD5420" w:rsidRPr="00BF27AD" w:rsidRDefault="00CD5420" w:rsidP="00CD5420">
      <w:pPr>
        <w:pStyle w:val="NormalWeb"/>
        <w:shd w:val="clear" w:color="auto" w:fill="E0DBDB"/>
        <w:textAlignment w:val="center"/>
        <w:rPr>
          <w:i/>
          <w:iCs/>
          <w:color w:val="000000"/>
          <w:sz w:val="22"/>
          <w:szCs w:val="22"/>
        </w:rPr>
      </w:pPr>
      <w:r w:rsidRPr="00BF27AD">
        <w:rPr>
          <w:i/>
          <w:iCs/>
          <w:color w:val="000000"/>
          <w:sz w:val="22"/>
          <w:szCs w:val="22"/>
        </w:rPr>
        <w:t>La formación deberá estar centrada específicamente en el puesto de trabajo o función de cada trabajador, adaptarse a la evolución de los riesgos y a la aparición de otros nuevos y repetirse periódicamente, si fuera necesario”.</w:t>
      </w:r>
    </w:p>
    <w:p w:rsidR="00CD5420" w:rsidRPr="00BF27AD" w:rsidRDefault="00CD5420" w:rsidP="00CD5420">
      <w:pPr>
        <w:pStyle w:val="NormalWeb"/>
        <w:shd w:val="clear" w:color="auto" w:fill="E0DBDB"/>
        <w:textAlignment w:val="center"/>
        <w:rPr>
          <w:i/>
          <w:iCs/>
          <w:color w:val="000000"/>
          <w:sz w:val="22"/>
          <w:szCs w:val="22"/>
        </w:rPr>
      </w:pPr>
      <w:r w:rsidRPr="00BF27AD">
        <w:rPr>
          <w:b/>
          <w:bCs/>
          <w:i/>
          <w:iCs/>
          <w:color w:val="000000"/>
          <w:sz w:val="22"/>
          <w:szCs w:val="22"/>
        </w:rPr>
        <w:t>Artículo 5.1 y 4 R.D. 1215/1997</w:t>
      </w:r>
      <w:r w:rsidRPr="00BF27AD">
        <w:rPr>
          <w:i/>
          <w:iCs/>
          <w:color w:val="000000"/>
          <w:sz w:val="22"/>
          <w:szCs w:val="22"/>
        </w:rPr>
        <w:t>: “De conformidad con el artículo 19 de la Ley de Prevención de Riesgos Laborales, el empresario deberá garantizar que los trabajadores y los representantes de los trabajadores reciban una formación e información adecuadas sobre los riesgos derivados de la utilización de los equipos de trabajo, así como sobre las medidas de prevención y protección que hayan de adoptarse en aplicación del presente Real Decreto.</w:t>
      </w:r>
    </w:p>
    <w:p w:rsidR="00CD5420" w:rsidRPr="00BF27AD" w:rsidRDefault="00CD5420" w:rsidP="00CD5420">
      <w:pPr>
        <w:pStyle w:val="NormalWeb"/>
        <w:shd w:val="clear" w:color="auto" w:fill="FFFFFF"/>
        <w:textAlignment w:val="center"/>
        <w:rPr>
          <w:color w:val="000000"/>
          <w:sz w:val="22"/>
          <w:szCs w:val="22"/>
        </w:rPr>
      </w:pPr>
      <w:r w:rsidRPr="00BF27AD">
        <w:rPr>
          <w:color w:val="000000"/>
          <w:sz w:val="22"/>
          <w:szCs w:val="22"/>
        </w:rPr>
        <w:t>Los trabajadores deberán recibir una formación específica adecuada cuando, a fin de evitar o controlar un riesgo específico para la seguridad o salud de los trabajadores, la utilización de un equipo de trabajo deba realizarse en condiciones o formas determinadas, que requieran un particular conocimiento por parte de aquellos, el empresario adoptará las medidas necesarias para que la utilización de dicho equipo”.</w:t>
      </w:r>
    </w:p>
    <w:p w:rsidR="00050E34" w:rsidRPr="00572CCE" w:rsidRDefault="00050E34" w:rsidP="00050E34">
      <w:pPr>
        <w:spacing w:before="100" w:beforeAutospacing="1" w:after="100" w:afterAutospacing="1" w:line="240" w:lineRule="auto"/>
        <w:textAlignment w:val="center"/>
        <w:outlineLvl w:val="2"/>
        <w:rPr>
          <w:rFonts w:ascii="Times New Roman" w:eastAsia="Times New Roman" w:hAnsi="Times New Roman" w:cs="Times New Roman"/>
          <w:b/>
          <w:bCs/>
          <w:color w:val="0070C0"/>
          <w:lang w:eastAsia="es-ES"/>
        </w:rPr>
      </w:pPr>
      <w:r w:rsidRPr="00572CCE">
        <w:rPr>
          <w:rFonts w:ascii="Times New Roman" w:eastAsia="Times New Roman" w:hAnsi="Times New Roman" w:cs="Times New Roman"/>
          <w:b/>
          <w:bCs/>
          <w:color w:val="0070C0"/>
          <w:lang w:eastAsia="es-ES"/>
        </w:rPr>
        <w:t>En caso de accidente, al no tener formación, que responsabilidades recaen sobre el empresario</w:t>
      </w:r>
      <w:proofErr w:type="gramStart"/>
      <w:r w:rsidRPr="00572CCE">
        <w:rPr>
          <w:rFonts w:ascii="Times New Roman" w:eastAsia="Times New Roman" w:hAnsi="Times New Roman" w:cs="Times New Roman"/>
          <w:b/>
          <w:bCs/>
          <w:color w:val="0070C0"/>
          <w:lang w:eastAsia="es-ES"/>
        </w:rPr>
        <w:t>?</w:t>
      </w:r>
      <w:proofErr w:type="gramEnd"/>
    </w:p>
    <w:p w:rsidR="00050E34" w:rsidRPr="00572CCE"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b/>
          <w:color w:val="000000"/>
          <w:lang w:eastAsia="es-ES"/>
        </w:rPr>
      </w:pPr>
      <w:r w:rsidRPr="00572CCE">
        <w:rPr>
          <w:rFonts w:ascii="Times New Roman" w:eastAsia="Times New Roman" w:hAnsi="Times New Roman" w:cs="Times New Roman"/>
          <w:b/>
          <w:color w:val="000000"/>
          <w:lang w:eastAsia="es-ES"/>
        </w:rPr>
        <w:t>La Ley de Prevención de Riesgos Laborales (LPRL) establece en su artículo 42 que el incumplimiento por los empresarios de sus obligaciones en materia de prevención de riesgos laborales dará lugar a responsabilidades administrativas, así como, en su caso, a responsabilidades penales y a las civiles por los daños y perjuicios que puedan derivarse de dicho incumplimiento.</w:t>
      </w:r>
    </w:p>
    <w:p w:rsidR="00050E34" w:rsidRPr="00BF27AD"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Asimismo, el citado artículo dice que las responsabilidades administrativas que se deriven del procedimiento sancionador serán compatibles con las indemnizaciones por los daños y perjuicios causados y de recargo de prestaciones económicas del sistema de la Seguridad Social que puedan ser fijadas por el órgano competente de conformidad con lo previsto en la normativa reguladora de dicho sistema, que no es otra que la Ley General de la Seguridad Social (Artículo 123).</w:t>
      </w:r>
    </w:p>
    <w:p w:rsidR="00050E34" w:rsidRPr="00BF27AD"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Así pues, nos encontramos con 4 tipos de responsabilidades:</w:t>
      </w:r>
    </w:p>
    <w:p w:rsidR="00050E34" w:rsidRPr="00BF27AD"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572CCE">
        <w:rPr>
          <w:rFonts w:ascii="Times New Roman" w:eastAsia="Times New Roman" w:hAnsi="Times New Roman" w:cs="Times New Roman"/>
          <w:b/>
          <w:color w:val="000000"/>
          <w:lang w:eastAsia="es-ES"/>
        </w:rPr>
        <w:t>-Administrativa</w:t>
      </w:r>
      <w:r w:rsidRPr="00BF27AD">
        <w:rPr>
          <w:rFonts w:ascii="Times New Roman" w:eastAsia="Times New Roman" w:hAnsi="Times New Roman" w:cs="Times New Roman"/>
          <w:color w:val="000000"/>
          <w:lang w:eastAsia="es-ES"/>
        </w:rPr>
        <w:t xml:space="preserve"> (sancionadora)</w:t>
      </w:r>
    </w:p>
    <w:p w:rsidR="00050E34" w:rsidRPr="00BF27AD"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w:t>
      </w:r>
      <w:r w:rsidRPr="00572CCE">
        <w:rPr>
          <w:rFonts w:ascii="Times New Roman" w:eastAsia="Times New Roman" w:hAnsi="Times New Roman" w:cs="Times New Roman"/>
          <w:b/>
          <w:color w:val="000000"/>
          <w:lang w:eastAsia="es-ES"/>
        </w:rPr>
        <w:t xml:space="preserve">Laboral </w:t>
      </w:r>
      <w:r w:rsidRPr="00BF27AD">
        <w:rPr>
          <w:rFonts w:ascii="Times New Roman" w:eastAsia="Times New Roman" w:hAnsi="Times New Roman" w:cs="Times New Roman"/>
          <w:color w:val="000000"/>
          <w:lang w:eastAsia="es-ES"/>
        </w:rPr>
        <w:t>(recargo de prestaciones de la Seguridad Social entre un 30%-50%, que no es objeto de aseguramiento previo alguno)</w:t>
      </w:r>
    </w:p>
    <w:p w:rsidR="00050E34" w:rsidRPr="00BF27AD"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w:t>
      </w:r>
      <w:r w:rsidRPr="00572CCE">
        <w:rPr>
          <w:rFonts w:ascii="Times New Roman" w:eastAsia="Times New Roman" w:hAnsi="Times New Roman" w:cs="Times New Roman"/>
          <w:b/>
          <w:color w:val="000000"/>
          <w:lang w:eastAsia="es-ES"/>
        </w:rPr>
        <w:t xml:space="preserve">Civil </w:t>
      </w:r>
      <w:r w:rsidRPr="00BF27AD">
        <w:rPr>
          <w:rFonts w:ascii="Times New Roman" w:eastAsia="Times New Roman" w:hAnsi="Times New Roman" w:cs="Times New Roman"/>
          <w:color w:val="000000"/>
          <w:lang w:eastAsia="es-ES"/>
        </w:rPr>
        <w:t>(Indemnización de daños y perjuicios)</w:t>
      </w:r>
    </w:p>
    <w:p w:rsidR="00050E34" w:rsidRPr="00BF27AD"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lastRenderedPageBreak/>
        <w:t>-</w:t>
      </w:r>
      <w:r w:rsidRPr="00572CCE">
        <w:rPr>
          <w:rFonts w:ascii="Times New Roman" w:eastAsia="Times New Roman" w:hAnsi="Times New Roman" w:cs="Times New Roman"/>
          <w:b/>
          <w:color w:val="000000"/>
          <w:lang w:eastAsia="es-ES"/>
        </w:rPr>
        <w:t xml:space="preserve">Penal </w:t>
      </w:r>
      <w:r w:rsidRPr="00BF27AD">
        <w:rPr>
          <w:rFonts w:ascii="Times New Roman" w:eastAsia="Times New Roman" w:hAnsi="Times New Roman" w:cs="Times New Roman"/>
          <w:color w:val="000000"/>
          <w:lang w:eastAsia="es-ES"/>
        </w:rPr>
        <w:t>(comisión de un delitos contra los derechos de los trabajadores, con penas de prisión de hasta 3 años y, en caso de fallecimiento del trabajador, con un delito de homicidio por imprudencia o de lesiones si no se produce el fallecimiento).</w:t>
      </w:r>
    </w:p>
    <w:p w:rsidR="00050E34" w:rsidRPr="00BF27AD" w:rsidRDefault="00050E34" w:rsidP="00050E34">
      <w:pPr>
        <w:shd w:val="clear" w:color="auto" w:fill="FFFFFF"/>
        <w:spacing w:before="100" w:beforeAutospacing="1" w:after="100" w:afterAutospacing="1" w:line="240" w:lineRule="auto"/>
        <w:textAlignment w:val="center"/>
        <w:rPr>
          <w:rFonts w:ascii="Times New Roman" w:eastAsia="Times New Roman" w:hAnsi="Times New Roman" w:cs="Times New Roman"/>
          <w:color w:val="000000"/>
          <w:lang w:eastAsia="es-ES"/>
        </w:rPr>
      </w:pPr>
      <w:r w:rsidRPr="00BF27AD">
        <w:rPr>
          <w:rFonts w:ascii="Times New Roman" w:eastAsia="Times New Roman" w:hAnsi="Times New Roman" w:cs="Times New Roman"/>
          <w:color w:val="000000"/>
          <w:lang w:eastAsia="es-ES"/>
        </w:rPr>
        <w:t>Como consecuencia, siendo la formación del trabajador un deber inexcusable del empresario, de no llevarse a cabo formación teórica y práctica por la empresa y en el caso de ocurrir un accidente, se exigirían a la misma los cuatro tipos de responsabilidades anteriormente descritas, pues todas ellas son exigiblemente compatibles desde un punto de vista legal</w:t>
      </w:r>
    </w:p>
    <w:p w:rsidR="00050E34" w:rsidRPr="00BF27AD" w:rsidRDefault="00050E34" w:rsidP="00CD5420">
      <w:pPr>
        <w:pStyle w:val="NormalWeb"/>
        <w:shd w:val="clear" w:color="auto" w:fill="FFFFFF"/>
        <w:textAlignment w:val="center"/>
        <w:rPr>
          <w:color w:val="000000"/>
          <w:sz w:val="22"/>
          <w:szCs w:val="22"/>
        </w:rPr>
      </w:pPr>
    </w:p>
    <w:p w:rsidR="00CD5420" w:rsidRPr="00BF27AD" w:rsidRDefault="00CD5420">
      <w:pPr>
        <w:rPr>
          <w:rFonts w:ascii="Times New Roman" w:hAnsi="Times New Roman" w:cs="Times New Roman"/>
        </w:rPr>
      </w:pPr>
    </w:p>
    <w:sectPr w:rsidR="00CD5420" w:rsidRPr="00BF27AD" w:rsidSect="00CD1F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CD5420"/>
    <w:rsid w:val="00016611"/>
    <w:rsid w:val="00050E34"/>
    <w:rsid w:val="001E79CC"/>
    <w:rsid w:val="0030776E"/>
    <w:rsid w:val="003B1DA3"/>
    <w:rsid w:val="00410AA5"/>
    <w:rsid w:val="00572CCE"/>
    <w:rsid w:val="005E10C6"/>
    <w:rsid w:val="006554B8"/>
    <w:rsid w:val="006F7260"/>
    <w:rsid w:val="007621AB"/>
    <w:rsid w:val="007F0DC3"/>
    <w:rsid w:val="007F30A0"/>
    <w:rsid w:val="00AB29AB"/>
    <w:rsid w:val="00BF27AD"/>
    <w:rsid w:val="00C9724A"/>
    <w:rsid w:val="00CD1F75"/>
    <w:rsid w:val="00CD5420"/>
    <w:rsid w:val="00D57756"/>
    <w:rsid w:val="00D735E3"/>
    <w:rsid w:val="00D80D33"/>
    <w:rsid w:val="00EF08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75"/>
  </w:style>
  <w:style w:type="paragraph" w:styleId="Ttulo2">
    <w:name w:val="heading 2"/>
    <w:basedOn w:val="Normal"/>
    <w:next w:val="Normal"/>
    <w:link w:val="Ttulo2Car"/>
    <w:uiPriority w:val="9"/>
    <w:semiHidden/>
    <w:unhideWhenUsed/>
    <w:qFormat/>
    <w:rsid w:val="00BF27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CD542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D542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CD54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BF27AD"/>
    <w:rPr>
      <w:rFonts w:asciiTheme="majorHAnsi" w:eastAsiaTheme="majorEastAsia" w:hAnsiTheme="majorHAnsi" w:cstheme="majorBidi"/>
      <w:b/>
      <w:bCs/>
      <w:color w:val="4F81BD" w:themeColor="accent1"/>
      <w:sz w:val="26"/>
      <w:szCs w:val="26"/>
    </w:rPr>
  </w:style>
  <w:style w:type="paragraph" w:customStyle="1" w:styleId="bodytext">
    <w:name w:val="bodytext"/>
    <w:basedOn w:val="Normal"/>
    <w:rsid w:val="00BF27AD"/>
    <w:pPr>
      <w:spacing w:after="240" w:line="324" w:lineRule="auto"/>
    </w:pPr>
    <w:rPr>
      <w:rFonts w:ascii="Times New Roman" w:eastAsia="Times New Roman" w:hAnsi="Times New Roman" w:cs="Times New Roman"/>
      <w:sz w:val="11"/>
      <w:szCs w:val="11"/>
      <w:lang w:eastAsia="es-ES"/>
    </w:rPr>
  </w:style>
  <w:style w:type="character" w:customStyle="1" w:styleId="googqs-tidbit1">
    <w:name w:val="goog_qs-tidbit1"/>
    <w:basedOn w:val="Fuentedeprrafopredeter"/>
    <w:rsid w:val="00BF27AD"/>
    <w:rPr>
      <w:vanish w:val="0"/>
      <w:webHidden w:val="0"/>
      <w:specVanish w:val="0"/>
    </w:rPr>
  </w:style>
  <w:style w:type="character" w:styleId="Textoennegrita">
    <w:name w:val="Strong"/>
    <w:basedOn w:val="Fuentedeprrafopredeter"/>
    <w:uiPriority w:val="22"/>
    <w:qFormat/>
    <w:rsid w:val="00BF27AD"/>
    <w:rPr>
      <w:b/>
      <w:bCs/>
    </w:rPr>
  </w:style>
  <w:style w:type="character" w:styleId="Hipervnculo">
    <w:name w:val="Hyperlink"/>
    <w:basedOn w:val="Fuentedeprrafopredeter"/>
    <w:uiPriority w:val="99"/>
    <w:unhideWhenUsed/>
    <w:rsid w:val="00572CC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312950">
      <w:bodyDiv w:val="1"/>
      <w:marLeft w:val="0"/>
      <w:marRight w:val="0"/>
      <w:marTop w:val="0"/>
      <w:marBottom w:val="0"/>
      <w:divBdr>
        <w:top w:val="none" w:sz="0" w:space="0" w:color="auto"/>
        <w:left w:val="none" w:sz="0" w:space="0" w:color="auto"/>
        <w:bottom w:val="none" w:sz="0" w:space="0" w:color="auto"/>
        <w:right w:val="none" w:sz="0" w:space="0" w:color="auto"/>
      </w:divBdr>
      <w:divsChild>
        <w:div w:id="446848720">
          <w:marLeft w:val="0"/>
          <w:marRight w:val="0"/>
          <w:marTop w:val="0"/>
          <w:marBottom w:val="0"/>
          <w:divBdr>
            <w:top w:val="none" w:sz="0" w:space="0" w:color="auto"/>
            <w:left w:val="none" w:sz="0" w:space="0" w:color="auto"/>
            <w:bottom w:val="none" w:sz="0" w:space="0" w:color="auto"/>
            <w:right w:val="none" w:sz="0" w:space="0" w:color="auto"/>
          </w:divBdr>
          <w:divsChild>
            <w:div w:id="120535862">
              <w:marLeft w:val="0"/>
              <w:marRight w:val="0"/>
              <w:marTop w:val="0"/>
              <w:marBottom w:val="0"/>
              <w:divBdr>
                <w:top w:val="none" w:sz="0" w:space="0" w:color="auto"/>
                <w:left w:val="none" w:sz="0" w:space="0" w:color="auto"/>
                <w:bottom w:val="none" w:sz="0" w:space="0" w:color="auto"/>
                <w:right w:val="none" w:sz="0" w:space="0" w:color="auto"/>
              </w:divBdr>
              <w:divsChild>
                <w:div w:id="1172531508">
                  <w:marLeft w:val="0"/>
                  <w:marRight w:val="0"/>
                  <w:marTop w:val="0"/>
                  <w:marBottom w:val="0"/>
                  <w:divBdr>
                    <w:top w:val="none" w:sz="0" w:space="0" w:color="auto"/>
                    <w:left w:val="none" w:sz="0" w:space="0" w:color="auto"/>
                    <w:bottom w:val="none" w:sz="0" w:space="0" w:color="auto"/>
                    <w:right w:val="none" w:sz="0" w:space="0" w:color="auto"/>
                  </w:divBdr>
                  <w:divsChild>
                    <w:div w:id="1924802845">
                      <w:marLeft w:val="0"/>
                      <w:marRight w:val="0"/>
                      <w:marTop w:val="0"/>
                      <w:marBottom w:val="0"/>
                      <w:divBdr>
                        <w:top w:val="none" w:sz="0" w:space="0" w:color="auto"/>
                        <w:left w:val="none" w:sz="0" w:space="0" w:color="auto"/>
                        <w:bottom w:val="none" w:sz="0" w:space="0" w:color="auto"/>
                        <w:right w:val="none" w:sz="0" w:space="0" w:color="auto"/>
                      </w:divBdr>
                      <w:divsChild>
                        <w:div w:id="2131893770">
                          <w:marLeft w:val="35"/>
                          <w:marRight w:val="35"/>
                          <w:marTop w:val="0"/>
                          <w:marBottom w:val="88"/>
                          <w:divBdr>
                            <w:top w:val="none" w:sz="0" w:space="0" w:color="auto"/>
                            <w:left w:val="none" w:sz="0" w:space="0" w:color="auto"/>
                            <w:bottom w:val="none" w:sz="0" w:space="0" w:color="auto"/>
                            <w:right w:val="none" w:sz="0" w:space="0" w:color="auto"/>
                          </w:divBdr>
                          <w:divsChild>
                            <w:div w:id="915239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0987">
      <w:bodyDiv w:val="1"/>
      <w:marLeft w:val="0"/>
      <w:marRight w:val="0"/>
      <w:marTop w:val="240"/>
      <w:marBottom w:val="240"/>
      <w:divBdr>
        <w:top w:val="none" w:sz="0" w:space="0" w:color="auto"/>
        <w:left w:val="none" w:sz="0" w:space="0" w:color="auto"/>
        <w:bottom w:val="none" w:sz="0" w:space="0" w:color="auto"/>
        <w:right w:val="none" w:sz="0" w:space="0" w:color="auto"/>
      </w:divBdr>
      <w:divsChild>
        <w:div w:id="1206873306">
          <w:marLeft w:val="0"/>
          <w:marRight w:val="0"/>
          <w:marTop w:val="0"/>
          <w:marBottom w:val="0"/>
          <w:divBdr>
            <w:top w:val="none" w:sz="0" w:space="0" w:color="auto"/>
            <w:left w:val="none" w:sz="0" w:space="0" w:color="auto"/>
            <w:bottom w:val="none" w:sz="0" w:space="0" w:color="auto"/>
            <w:right w:val="none" w:sz="0" w:space="0" w:color="auto"/>
          </w:divBdr>
          <w:divsChild>
            <w:div w:id="1400130070">
              <w:marLeft w:val="0"/>
              <w:marRight w:val="0"/>
              <w:marTop w:val="0"/>
              <w:marBottom w:val="0"/>
              <w:divBdr>
                <w:top w:val="none" w:sz="0" w:space="0" w:color="auto"/>
                <w:left w:val="none" w:sz="0" w:space="0" w:color="auto"/>
                <w:bottom w:val="none" w:sz="0" w:space="0" w:color="auto"/>
                <w:right w:val="none" w:sz="0" w:space="0" w:color="auto"/>
              </w:divBdr>
              <w:divsChild>
                <w:div w:id="1382948859">
                  <w:marLeft w:val="0"/>
                  <w:marRight w:val="0"/>
                  <w:marTop w:val="0"/>
                  <w:marBottom w:val="0"/>
                  <w:divBdr>
                    <w:top w:val="none" w:sz="0" w:space="0" w:color="auto"/>
                    <w:left w:val="none" w:sz="0" w:space="0" w:color="auto"/>
                    <w:bottom w:val="none" w:sz="0" w:space="0" w:color="auto"/>
                    <w:right w:val="none" w:sz="0" w:space="0" w:color="auto"/>
                  </w:divBdr>
                </w:div>
                <w:div w:id="1969892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05878923">
      <w:bodyDiv w:val="1"/>
      <w:marLeft w:val="0"/>
      <w:marRight w:val="0"/>
      <w:marTop w:val="0"/>
      <w:marBottom w:val="0"/>
      <w:divBdr>
        <w:top w:val="none" w:sz="0" w:space="0" w:color="auto"/>
        <w:left w:val="none" w:sz="0" w:space="0" w:color="auto"/>
        <w:bottom w:val="none" w:sz="0" w:space="0" w:color="auto"/>
        <w:right w:val="none" w:sz="0" w:space="0" w:color="auto"/>
      </w:divBdr>
      <w:divsChild>
        <w:div w:id="2114862285">
          <w:marLeft w:val="0"/>
          <w:marRight w:val="0"/>
          <w:marTop w:val="0"/>
          <w:marBottom w:val="0"/>
          <w:divBdr>
            <w:top w:val="none" w:sz="0" w:space="0" w:color="auto"/>
            <w:left w:val="none" w:sz="0" w:space="0" w:color="auto"/>
            <w:bottom w:val="none" w:sz="0" w:space="0" w:color="auto"/>
            <w:right w:val="none" w:sz="0" w:space="0" w:color="auto"/>
          </w:divBdr>
          <w:divsChild>
            <w:div w:id="331490553">
              <w:marLeft w:val="0"/>
              <w:marRight w:val="0"/>
              <w:marTop w:val="0"/>
              <w:marBottom w:val="0"/>
              <w:divBdr>
                <w:top w:val="none" w:sz="0" w:space="0" w:color="auto"/>
                <w:left w:val="none" w:sz="0" w:space="0" w:color="auto"/>
                <w:bottom w:val="none" w:sz="0" w:space="0" w:color="auto"/>
                <w:right w:val="none" w:sz="0" w:space="0" w:color="auto"/>
              </w:divBdr>
              <w:divsChild>
                <w:div w:id="8411446">
                  <w:marLeft w:val="0"/>
                  <w:marRight w:val="0"/>
                  <w:marTop w:val="0"/>
                  <w:marBottom w:val="0"/>
                  <w:divBdr>
                    <w:top w:val="none" w:sz="0" w:space="0" w:color="auto"/>
                    <w:left w:val="none" w:sz="0" w:space="0" w:color="auto"/>
                    <w:bottom w:val="none" w:sz="0" w:space="0" w:color="auto"/>
                    <w:right w:val="none" w:sz="0" w:space="0" w:color="auto"/>
                  </w:divBdr>
                  <w:divsChild>
                    <w:div w:id="1046367177">
                      <w:marLeft w:val="0"/>
                      <w:marRight w:val="0"/>
                      <w:marTop w:val="0"/>
                      <w:marBottom w:val="0"/>
                      <w:divBdr>
                        <w:top w:val="none" w:sz="0" w:space="0" w:color="auto"/>
                        <w:left w:val="none" w:sz="0" w:space="0" w:color="auto"/>
                        <w:bottom w:val="none" w:sz="0" w:space="0" w:color="auto"/>
                        <w:right w:val="none" w:sz="0" w:space="0" w:color="auto"/>
                      </w:divBdr>
                      <w:divsChild>
                        <w:div w:id="1740784299">
                          <w:marLeft w:val="35"/>
                          <w:marRight w:val="35"/>
                          <w:marTop w:val="0"/>
                          <w:marBottom w:val="88"/>
                          <w:divBdr>
                            <w:top w:val="none" w:sz="0" w:space="0" w:color="auto"/>
                            <w:left w:val="none" w:sz="0" w:space="0" w:color="auto"/>
                            <w:bottom w:val="none" w:sz="0" w:space="0" w:color="auto"/>
                            <w:right w:val="none" w:sz="0" w:space="0" w:color="auto"/>
                          </w:divBdr>
                          <w:divsChild>
                            <w:div w:id="3889168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89198">
      <w:bodyDiv w:val="1"/>
      <w:marLeft w:val="0"/>
      <w:marRight w:val="0"/>
      <w:marTop w:val="0"/>
      <w:marBottom w:val="0"/>
      <w:divBdr>
        <w:top w:val="none" w:sz="0" w:space="0" w:color="auto"/>
        <w:left w:val="none" w:sz="0" w:space="0" w:color="auto"/>
        <w:bottom w:val="none" w:sz="0" w:space="0" w:color="auto"/>
        <w:right w:val="none" w:sz="0" w:space="0" w:color="auto"/>
      </w:divBdr>
      <w:divsChild>
        <w:div w:id="1341086584">
          <w:marLeft w:val="0"/>
          <w:marRight w:val="0"/>
          <w:marTop w:val="0"/>
          <w:marBottom w:val="0"/>
          <w:divBdr>
            <w:top w:val="none" w:sz="0" w:space="0" w:color="auto"/>
            <w:left w:val="none" w:sz="0" w:space="0" w:color="auto"/>
            <w:bottom w:val="none" w:sz="0" w:space="0" w:color="auto"/>
            <w:right w:val="none" w:sz="0" w:space="0" w:color="auto"/>
          </w:divBdr>
          <w:divsChild>
            <w:div w:id="1542284140">
              <w:marLeft w:val="0"/>
              <w:marRight w:val="0"/>
              <w:marTop w:val="0"/>
              <w:marBottom w:val="0"/>
              <w:divBdr>
                <w:top w:val="none" w:sz="0" w:space="0" w:color="auto"/>
                <w:left w:val="none" w:sz="0" w:space="0" w:color="auto"/>
                <w:bottom w:val="none" w:sz="0" w:space="0" w:color="auto"/>
                <w:right w:val="none" w:sz="0" w:space="0" w:color="auto"/>
              </w:divBdr>
              <w:divsChild>
                <w:div w:id="1402210907">
                  <w:marLeft w:val="0"/>
                  <w:marRight w:val="0"/>
                  <w:marTop w:val="0"/>
                  <w:marBottom w:val="0"/>
                  <w:divBdr>
                    <w:top w:val="none" w:sz="0" w:space="0" w:color="auto"/>
                    <w:left w:val="none" w:sz="0" w:space="0" w:color="auto"/>
                    <w:bottom w:val="none" w:sz="0" w:space="0" w:color="auto"/>
                    <w:right w:val="none" w:sz="0" w:space="0" w:color="auto"/>
                  </w:divBdr>
                  <w:divsChild>
                    <w:div w:id="1888255898">
                      <w:marLeft w:val="0"/>
                      <w:marRight w:val="0"/>
                      <w:marTop w:val="0"/>
                      <w:marBottom w:val="0"/>
                      <w:divBdr>
                        <w:top w:val="none" w:sz="0" w:space="0" w:color="auto"/>
                        <w:left w:val="none" w:sz="0" w:space="0" w:color="auto"/>
                        <w:bottom w:val="none" w:sz="0" w:space="0" w:color="auto"/>
                        <w:right w:val="none" w:sz="0" w:space="0" w:color="auto"/>
                      </w:divBdr>
                      <w:divsChild>
                        <w:div w:id="200821164">
                          <w:marLeft w:val="35"/>
                          <w:marRight w:val="35"/>
                          <w:marTop w:val="0"/>
                          <w:marBottom w:val="88"/>
                          <w:divBdr>
                            <w:top w:val="none" w:sz="0" w:space="0" w:color="auto"/>
                            <w:left w:val="none" w:sz="0" w:space="0" w:color="auto"/>
                            <w:bottom w:val="none" w:sz="0" w:space="0" w:color="auto"/>
                            <w:right w:val="none" w:sz="0" w:space="0" w:color="auto"/>
                          </w:divBdr>
                          <w:divsChild>
                            <w:div w:id="15196601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80660">
      <w:bodyDiv w:val="1"/>
      <w:marLeft w:val="0"/>
      <w:marRight w:val="0"/>
      <w:marTop w:val="0"/>
      <w:marBottom w:val="0"/>
      <w:divBdr>
        <w:top w:val="none" w:sz="0" w:space="0" w:color="auto"/>
        <w:left w:val="none" w:sz="0" w:space="0" w:color="auto"/>
        <w:bottom w:val="none" w:sz="0" w:space="0" w:color="auto"/>
        <w:right w:val="none" w:sz="0" w:space="0" w:color="auto"/>
      </w:divBdr>
      <w:divsChild>
        <w:div w:id="326520952">
          <w:marLeft w:val="0"/>
          <w:marRight w:val="0"/>
          <w:marTop w:val="0"/>
          <w:marBottom w:val="0"/>
          <w:divBdr>
            <w:top w:val="none" w:sz="0" w:space="0" w:color="auto"/>
            <w:left w:val="none" w:sz="0" w:space="0" w:color="auto"/>
            <w:bottom w:val="none" w:sz="0" w:space="0" w:color="auto"/>
            <w:right w:val="none" w:sz="0" w:space="0" w:color="auto"/>
          </w:divBdr>
          <w:divsChild>
            <w:div w:id="1152067947">
              <w:marLeft w:val="0"/>
              <w:marRight w:val="0"/>
              <w:marTop w:val="0"/>
              <w:marBottom w:val="0"/>
              <w:divBdr>
                <w:top w:val="none" w:sz="0" w:space="0" w:color="auto"/>
                <w:left w:val="none" w:sz="0" w:space="0" w:color="auto"/>
                <w:bottom w:val="none" w:sz="0" w:space="0" w:color="auto"/>
                <w:right w:val="none" w:sz="0" w:space="0" w:color="auto"/>
              </w:divBdr>
              <w:divsChild>
                <w:div w:id="1534801565">
                  <w:marLeft w:val="0"/>
                  <w:marRight w:val="0"/>
                  <w:marTop w:val="0"/>
                  <w:marBottom w:val="0"/>
                  <w:divBdr>
                    <w:top w:val="none" w:sz="0" w:space="0" w:color="auto"/>
                    <w:left w:val="none" w:sz="0" w:space="0" w:color="auto"/>
                    <w:bottom w:val="none" w:sz="0" w:space="0" w:color="auto"/>
                    <w:right w:val="none" w:sz="0" w:space="0" w:color="auto"/>
                  </w:divBdr>
                  <w:divsChild>
                    <w:div w:id="1785805427">
                      <w:marLeft w:val="0"/>
                      <w:marRight w:val="0"/>
                      <w:marTop w:val="0"/>
                      <w:marBottom w:val="0"/>
                      <w:divBdr>
                        <w:top w:val="none" w:sz="0" w:space="0" w:color="auto"/>
                        <w:left w:val="none" w:sz="0" w:space="0" w:color="auto"/>
                        <w:bottom w:val="none" w:sz="0" w:space="0" w:color="auto"/>
                        <w:right w:val="none" w:sz="0" w:space="0" w:color="auto"/>
                      </w:divBdr>
                      <w:divsChild>
                        <w:div w:id="970355746">
                          <w:marLeft w:val="35"/>
                          <w:marRight w:val="35"/>
                          <w:marTop w:val="0"/>
                          <w:marBottom w:val="88"/>
                          <w:divBdr>
                            <w:top w:val="none" w:sz="0" w:space="0" w:color="auto"/>
                            <w:left w:val="none" w:sz="0" w:space="0" w:color="auto"/>
                            <w:bottom w:val="none" w:sz="0" w:space="0" w:color="auto"/>
                            <w:right w:val="none" w:sz="0" w:space="0" w:color="auto"/>
                          </w:divBdr>
                          <w:divsChild>
                            <w:div w:id="839347917">
                              <w:marLeft w:val="0"/>
                              <w:marRight w:val="0"/>
                              <w:marTop w:val="240"/>
                              <w:marBottom w:val="0"/>
                              <w:divBdr>
                                <w:top w:val="none" w:sz="0" w:space="0" w:color="auto"/>
                                <w:left w:val="none" w:sz="0" w:space="0" w:color="auto"/>
                                <w:bottom w:val="none" w:sz="0" w:space="0" w:color="auto"/>
                                <w:right w:val="none" w:sz="0" w:space="0" w:color="auto"/>
                              </w:divBdr>
                            </w:div>
                            <w:div w:id="1425540554">
                              <w:marLeft w:val="0"/>
                              <w:marRight w:val="0"/>
                              <w:marTop w:val="240"/>
                              <w:marBottom w:val="0"/>
                              <w:divBdr>
                                <w:top w:val="none" w:sz="0" w:space="0" w:color="auto"/>
                                <w:left w:val="none" w:sz="0" w:space="0" w:color="auto"/>
                                <w:bottom w:val="none" w:sz="0" w:space="0" w:color="auto"/>
                                <w:right w:val="none" w:sz="0" w:space="0" w:color="auto"/>
                              </w:divBdr>
                            </w:div>
                            <w:div w:id="2457703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648482">
      <w:bodyDiv w:val="1"/>
      <w:marLeft w:val="0"/>
      <w:marRight w:val="0"/>
      <w:marTop w:val="0"/>
      <w:marBottom w:val="0"/>
      <w:divBdr>
        <w:top w:val="none" w:sz="0" w:space="0" w:color="auto"/>
        <w:left w:val="none" w:sz="0" w:space="0" w:color="auto"/>
        <w:bottom w:val="none" w:sz="0" w:space="0" w:color="auto"/>
        <w:right w:val="none" w:sz="0" w:space="0" w:color="auto"/>
      </w:divBdr>
      <w:divsChild>
        <w:div w:id="1464425970">
          <w:marLeft w:val="0"/>
          <w:marRight w:val="0"/>
          <w:marTop w:val="0"/>
          <w:marBottom w:val="0"/>
          <w:divBdr>
            <w:top w:val="none" w:sz="0" w:space="0" w:color="auto"/>
            <w:left w:val="none" w:sz="0" w:space="0" w:color="auto"/>
            <w:bottom w:val="none" w:sz="0" w:space="0" w:color="auto"/>
            <w:right w:val="none" w:sz="0" w:space="0" w:color="auto"/>
          </w:divBdr>
          <w:divsChild>
            <w:div w:id="832337757">
              <w:marLeft w:val="0"/>
              <w:marRight w:val="0"/>
              <w:marTop w:val="0"/>
              <w:marBottom w:val="0"/>
              <w:divBdr>
                <w:top w:val="none" w:sz="0" w:space="0" w:color="auto"/>
                <w:left w:val="none" w:sz="0" w:space="0" w:color="auto"/>
                <w:bottom w:val="none" w:sz="0" w:space="0" w:color="auto"/>
                <w:right w:val="none" w:sz="0" w:space="0" w:color="auto"/>
              </w:divBdr>
              <w:divsChild>
                <w:div w:id="196506103">
                  <w:marLeft w:val="0"/>
                  <w:marRight w:val="0"/>
                  <w:marTop w:val="0"/>
                  <w:marBottom w:val="0"/>
                  <w:divBdr>
                    <w:top w:val="none" w:sz="0" w:space="0" w:color="auto"/>
                    <w:left w:val="none" w:sz="0" w:space="0" w:color="auto"/>
                    <w:bottom w:val="none" w:sz="0" w:space="0" w:color="auto"/>
                    <w:right w:val="none" w:sz="0" w:space="0" w:color="auto"/>
                  </w:divBdr>
                  <w:divsChild>
                    <w:div w:id="793057712">
                      <w:marLeft w:val="0"/>
                      <w:marRight w:val="0"/>
                      <w:marTop w:val="0"/>
                      <w:marBottom w:val="0"/>
                      <w:divBdr>
                        <w:top w:val="none" w:sz="0" w:space="0" w:color="auto"/>
                        <w:left w:val="none" w:sz="0" w:space="0" w:color="auto"/>
                        <w:bottom w:val="none" w:sz="0" w:space="0" w:color="auto"/>
                        <w:right w:val="none" w:sz="0" w:space="0" w:color="auto"/>
                      </w:divBdr>
                      <w:divsChild>
                        <w:div w:id="1760711150">
                          <w:marLeft w:val="35"/>
                          <w:marRight w:val="35"/>
                          <w:marTop w:val="0"/>
                          <w:marBottom w:val="88"/>
                          <w:divBdr>
                            <w:top w:val="none" w:sz="0" w:space="0" w:color="auto"/>
                            <w:left w:val="none" w:sz="0" w:space="0" w:color="auto"/>
                            <w:bottom w:val="none" w:sz="0" w:space="0" w:color="auto"/>
                            <w:right w:val="none" w:sz="0" w:space="0" w:color="auto"/>
                          </w:divBdr>
                          <w:divsChild>
                            <w:div w:id="2042051351">
                              <w:marLeft w:val="0"/>
                              <w:marRight w:val="0"/>
                              <w:marTop w:val="240"/>
                              <w:marBottom w:val="0"/>
                              <w:divBdr>
                                <w:top w:val="none" w:sz="0" w:space="0" w:color="auto"/>
                                <w:left w:val="none" w:sz="0" w:space="0" w:color="auto"/>
                                <w:bottom w:val="none" w:sz="0" w:space="0" w:color="auto"/>
                                <w:right w:val="none" w:sz="0" w:space="0" w:color="auto"/>
                              </w:divBdr>
                            </w:div>
                            <w:div w:id="21206438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218992">
      <w:bodyDiv w:val="1"/>
      <w:marLeft w:val="0"/>
      <w:marRight w:val="0"/>
      <w:marTop w:val="240"/>
      <w:marBottom w:val="240"/>
      <w:divBdr>
        <w:top w:val="none" w:sz="0" w:space="0" w:color="auto"/>
        <w:left w:val="none" w:sz="0" w:space="0" w:color="auto"/>
        <w:bottom w:val="none" w:sz="0" w:space="0" w:color="auto"/>
        <w:right w:val="none" w:sz="0" w:space="0" w:color="auto"/>
      </w:divBdr>
      <w:divsChild>
        <w:div w:id="2062512818">
          <w:marLeft w:val="0"/>
          <w:marRight w:val="0"/>
          <w:marTop w:val="0"/>
          <w:marBottom w:val="0"/>
          <w:divBdr>
            <w:top w:val="none" w:sz="0" w:space="0" w:color="auto"/>
            <w:left w:val="none" w:sz="0" w:space="0" w:color="auto"/>
            <w:bottom w:val="none" w:sz="0" w:space="0" w:color="auto"/>
            <w:right w:val="none" w:sz="0" w:space="0" w:color="auto"/>
          </w:divBdr>
          <w:divsChild>
            <w:div w:id="221911592">
              <w:marLeft w:val="0"/>
              <w:marRight w:val="0"/>
              <w:marTop w:val="0"/>
              <w:marBottom w:val="0"/>
              <w:divBdr>
                <w:top w:val="none" w:sz="0" w:space="0" w:color="auto"/>
                <w:left w:val="none" w:sz="0" w:space="0" w:color="auto"/>
                <w:bottom w:val="none" w:sz="0" w:space="0" w:color="auto"/>
                <w:right w:val="none" w:sz="0" w:space="0" w:color="auto"/>
              </w:divBdr>
              <w:divsChild>
                <w:div w:id="8890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65753">
      <w:bodyDiv w:val="1"/>
      <w:marLeft w:val="0"/>
      <w:marRight w:val="0"/>
      <w:marTop w:val="0"/>
      <w:marBottom w:val="0"/>
      <w:divBdr>
        <w:top w:val="none" w:sz="0" w:space="0" w:color="auto"/>
        <w:left w:val="none" w:sz="0" w:space="0" w:color="auto"/>
        <w:bottom w:val="none" w:sz="0" w:space="0" w:color="auto"/>
        <w:right w:val="none" w:sz="0" w:space="0" w:color="auto"/>
      </w:divBdr>
      <w:divsChild>
        <w:div w:id="1411194798">
          <w:marLeft w:val="0"/>
          <w:marRight w:val="0"/>
          <w:marTop w:val="0"/>
          <w:marBottom w:val="0"/>
          <w:divBdr>
            <w:top w:val="none" w:sz="0" w:space="0" w:color="auto"/>
            <w:left w:val="none" w:sz="0" w:space="0" w:color="auto"/>
            <w:bottom w:val="none" w:sz="0" w:space="0" w:color="auto"/>
            <w:right w:val="none" w:sz="0" w:space="0" w:color="auto"/>
          </w:divBdr>
          <w:divsChild>
            <w:div w:id="635528795">
              <w:marLeft w:val="0"/>
              <w:marRight w:val="0"/>
              <w:marTop w:val="0"/>
              <w:marBottom w:val="0"/>
              <w:divBdr>
                <w:top w:val="none" w:sz="0" w:space="0" w:color="auto"/>
                <w:left w:val="none" w:sz="0" w:space="0" w:color="auto"/>
                <w:bottom w:val="none" w:sz="0" w:space="0" w:color="auto"/>
                <w:right w:val="none" w:sz="0" w:space="0" w:color="auto"/>
              </w:divBdr>
              <w:divsChild>
                <w:div w:id="688334234">
                  <w:marLeft w:val="0"/>
                  <w:marRight w:val="0"/>
                  <w:marTop w:val="0"/>
                  <w:marBottom w:val="0"/>
                  <w:divBdr>
                    <w:top w:val="none" w:sz="0" w:space="0" w:color="auto"/>
                    <w:left w:val="none" w:sz="0" w:space="0" w:color="auto"/>
                    <w:bottom w:val="none" w:sz="0" w:space="0" w:color="auto"/>
                    <w:right w:val="none" w:sz="0" w:space="0" w:color="auto"/>
                  </w:divBdr>
                  <w:divsChild>
                    <w:div w:id="1252541559">
                      <w:marLeft w:val="0"/>
                      <w:marRight w:val="0"/>
                      <w:marTop w:val="0"/>
                      <w:marBottom w:val="0"/>
                      <w:divBdr>
                        <w:top w:val="none" w:sz="0" w:space="0" w:color="auto"/>
                        <w:left w:val="none" w:sz="0" w:space="0" w:color="auto"/>
                        <w:bottom w:val="none" w:sz="0" w:space="0" w:color="auto"/>
                        <w:right w:val="none" w:sz="0" w:space="0" w:color="auto"/>
                      </w:divBdr>
                      <w:divsChild>
                        <w:div w:id="1547375139">
                          <w:marLeft w:val="35"/>
                          <w:marRight w:val="35"/>
                          <w:marTop w:val="0"/>
                          <w:marBottom w:val="88"/>
                          <w:divBdr>
                            <w:top w:val="none" w:sz="0" w:space="0" w:color="auto"/>
                            <w:left w:val="none" w:sz="0" w:space="0" w:color="auto"/>
                            <w:bottom w:val="none" w:sz="0" w:space="0" w:color="auto"/>
                            <w:right w:val="none" w:sz="0" w:space="0" w:color="auto"/>
                          </w:divBdr>
                          <w:divsChild>
                            <w:div w:id="4335256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ocursos.net/operador_de_maquinaria_de_excavacion-slccurso998599.htm" TargetMode="External"/><Relationship Id="rId5" Type="http://schemas.openxmlformats.org/officeDocument/2006/relationships/hyperlink" Target="http://capser.bligoo.com/content/view/300256/CURSO-OPERADOR-MAQUINARIA-P" TargetMode="External"/><Relationship Id="rId4" Type="http://schemas.openxmlformats.org/officeDocument/2006/relationships/hyperlink" Target="http://www.emagister.com/palista-conductor-retroexcavadora-cargadora-cursos-279195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1901</Words>
  <Characters>10459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Jesús</cp:lastModifiedBy>
  <cp:revision>16</cp:revision>
  <dcterms:created xsi:type="dcterms:W3CDTF">2011-10-14T08:39:00Z</dcterms:created>
  <dcterms:modified xsi:type="dcterms:W3CDTF">2012-03-09T12:44:00Z</dcterms:modified>
</cp:coreProperties>
</file>